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Caricare i seguenti documenti scansionati come previsti dal Bando: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283.46456692913375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Dimostrazione della congruità delle spese tecniche (tenuta del fascicolo di domanda, progettazione, studi di fattibilità, consulenze, ecc.) calcolate sulla base del Decreto del Ministero della Giustizia n. 140/2012 e/o sulla base del Decreto del Ministero della Giustizia 19.06.2016, e comunque entro il limite del 12% del premio dei costi ammissibili;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283.46456692913375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Tabella riepilogativa delle spese tecniche sostenute, distinte per categoria professionale.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HVmn5hDnsgwpUIbLU66vi9ovtA==">CgMxLjA4AGoqChRzdWdnZXN0LnNham92NTRwYnB0cxISRnJhbmNlc2NhIERlIE1hcmNvaioKFHN1Z2dlc3QubWlvNGtjZ3hldTZ4EhJGcmFuY2VzY2EgRGUgTWFyY29yITE0RVdESThMX1lBRFBhYXVaMzlMT01tNUpRUGs1Q0RHcw==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